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360" w:lineRule="auto"/>
        <w:ind w:left="5103"/>
        <w:jc w:val="both"/>
        <w:rPr>
          <w:rFonts w:ascii="PT Astra Serif" w:hAnsi="PT Astra Serif"/>
          <w:sz w:val="28"/>
        </w:rPr>
      </w:pPr>
      <w:r>
        <w:rPr>
          <w:rFonts w:ascii="PT Astra Serif" w:hAnsi="PT Astra Serif"/>
          <w:sz w:val="28"/>
        </w:rPr>
        <w:t>Приложение № 2</w:t>
      </w:r>
    </w:p>
    <w:p>
      <w:pPr>
        <w:spacing w:after="0" w:line="240" w:lineRule="auto"/>
        <w:ind w:left="5103"/>
        <w:jc w:val="both"/>
        <w:rPr>
          <w:rFonts w:ascii="PT Astra Serif" w:hAnsi="PT Astra Serif"/>
          <w:sz w:val="28"/>
        </w:rPr>
      </w:pPr>
      <w:r>
        <w:rPr>
          <w:rFonts w:ascii="PT Astra Serif" w:hAnsi="PT Astra Serif"/>
          <w:sz w:val="28"/>
        </w:rPr>
        <w:t>УТВЕРЖДЕНО</w:t>
      </w:r>
    </w:p>
    <w:p>
      <w:pPr>
        <w:spacing w:after="0" w:line="240" w:lineRule="auto"/>
        <w:ind w:left="5103"/>
        <w:jc w:val="both"/>
        <w:rPr>
          <w:rFonts w:ascii="PT Astra Serif" w:hAnsi="PT Astra Serif"/>
          <w:sz w:val="28"/>
        </w:rPr>
      </w:pPr>
      <w:r>
        <w:rPr>
          <w:rFonts w:ascii="PT Astra Serif" w:hAnsi="PT Astra Serif"/>
          <w:sz w:val="28"/>
        </w:rPr>
        <w:t>распоряжением</w:t>
      </w:r>
    </w:p>
    <w:p>
      <w:pPr>
        <w:spacing w:after="0" w:line="240" w:lineRule="auto"/>
        <w:ind w:left="5103"/>
        <w:jc w:val="both"/>
        <w:rPr>
          <w:rFonts w:ascii="PT Astra Serif" w:hAnsi="PT Astra Serif"/>
          <w:sz w:val="28"/>
        </w:rPr>
      </w:pPr>
      <w:r>
        <w:rPr>
          <w:rFonts w:ascii="PT Astra Serif" w:hAnsi="PT Astra Serif"/>
          <w:sz w:val="28"/>
        </w:rPr>
        <w:t>Администрации Тазовского района</w:t>
      </w:r>
    </w:p>
    <w:p>
      <w:pPr>
        <w:spacing w:after="0" w:line="240" w:lineRule="auto"/>
        <w:ind w:left="5103"/>
        <w:jc w:val="both"/>
        <w:rPr>
          <w:rFonts w:ascii="PT Astra Serif" w:hAnsi="PT Astra Serif"/>
          <w:sz w:val="28"/>
        </w:rPr>
      </w:pPr>
      <w:r>
        <w:rPr>
          <w:rFonts w:ascii="PT Astra Serif" w:hAnsi="PT Astra Serif"/>
          <w:sz w:val="28"/>
        </w:rPr>
        <w:t>от 06 апреля 2021 года № 140-р</w:t>
      </w:r>
      <w:bookmarkStart w:id="0" w:name="_GoBack"/>
      <w:bookmarkEnd w:id="0"/>
    </w:p>
    <w:p>
      <w:pPr>
        <w:spacing w:after="0" w:line="240" w:lineRule="auto"/>
        <w:jc w:val="both"/>
        <w:rPr>
          <w:rFonts w:ascii="PT Astra Serif" w:hAnsi="PT Astra Serif"/>
          <w:sz w:val="28"/>
          <w:szCs w:val="28"/>
        </w:rPr>
      </w:pPr>
    </w:p>
    <w:p>
      <w:pPr>
        <w:spacing w:after="0" w:line="240" w:lineRule="auto"/>
        <w:jc w:val="both"/>
        <w:rPr>
          <w:rFonts w:ascii="PT Astra Serif" w:hAnsi="PT Astra Serif"/>
          <w:sz w:val="28"/>
          <w:szCs w:val="28"/>
        </w:rPr>
      </w:pPr>
    </w:p>
    <w:p>
      <w:pPr>
        <w:tabs>
          <w:tab w:val="left" w:pos="426"/>
        </w:tabs>
        <w:spacing w:after="0" w:line="240" w:lineRule="auto"/>
        <w:jc w:val="both"/>
        <w:rPr>
          <w:rFonts w:ascii="PT Astra Serif" w:hAnsi="PT Astra Serif"/>
          <w:sz w:val="28"/>
          <w:szCs w:val="28"/>
        </w:rPr>
      </w:pPr>
    </w:p>
    <w:p>
      <w:pPr>
        <w:tabs>
          <w:tab w:val="left" w:pos="426"/>
        </w:tabs>
        <w:spacing w:after="0" w:line="240" w:lineRule="auto"/>
        <w:jc w:val="center"/>
        <w:rPr>
          <w:rFonts w:ascii="PT Astra Serif" w:hAnsi="PT Astra Serif"/>
          <w:b/>
          <w:sz w:val="28"/>
          <w:szCs w:val="28"/>
        </w:rPr>
      </w:pPr>
      <w:r>
        <w:rPr>
          <w:rFonts w:ascii="PT Astra Serif" w:hAnsi="PT Astra Serif"/>
          <w:b/>
          <w:sz w:val="28"/>
          <w:szCs w:val="28"/>
        </w:rPr>
        <w:t>ПОЛОЖЕНИЕ</w:t>
      </w:r>
    </w:p>
    <w:p>
      <w:pPr>
        <w:tabs>
          <w:tab w:val="left" w:pos="426"/>
        </w:tabs>
        <w:spacing w:after="0" w:line="240" w:lineRule="auto"/>
        <w:jc w:val="center"/>
        <w:rPr>
          <w:rFonts w:ascii="PT Astra Serif" w:hAnsi="PT Astra Serif"/>
          <w:b/>
          <w:sz w:val="28"/>
          <w:szCs w:val="28"/>
        </w:rPr>
      </w:pPr>
      <w:r>
        <w:rPr>
          <w:rFonts w:ascii="PT Astra Serif" w:hAnsi="PT Astra Serif"/>
          <w:b/>
          <w:sz w:val="28"/>
          <w:szCs w:val="28"/>
        </w:rPr>
        <w:t xml:space="preserve">о секторе муниципального хозяйства, жизнеобеспечения </w:t>
      </w:r>
    </w:p>
    <w:p>
      <w:pPr>
        <w:tabs>
          <w:tab w:val="left" w:pos="426"/>
        </w:tabs>
        <w:spacing w:after="0" w:line="240" w:lineRule="auto"/>
        <w:jc w:val="center"/>
        <w:rPr>
          <w:rFonts w:ascii="PT Astra Serif" w:hAnsi="PT Astra Serif"/>
          <w:b/>
          <w:sz w:val="28"/>
          <w:szCs w:val="28"/>
        </w:rPr>
      </w:pPr>
      <w:r>
        <w:rPr>
          <w:rFonts w:ascii="PT Astra Serif" w:hAnsi="PT Astra Serif"/>
          <w:b/>
          <w:sz w:val="28"/>
          <w:szCs w:val="28"/>
        </w:rPr>
        <w:t xml:space="preserve">и жилищных вопросов администрации села Газ-Сале </w:t>
      </w:r>
    </w:p>
    <w:p>
      <w:pPr>
        <w:tabs>
          <w:tab w:val="left" w:pos="426"/>
        </w:tabs>
        <w:spacing w:after="0" w:line="240" w:lineRule="auto"/>
        <w:jc w:val="center"/>
        <w:rPr>
          <w:rFonts w:ascii="PT Astra Serif" w:hAnsi="PT Astra Serif"/>
          <w:b/>
          <w:sz w:val="28"/>
          <w:szCs w:val="28"/>
        </w:rPr>
      </w:pPr>
      <w:r>
        <w:rPr>
          <w:rFonts w:ascii="PT Astra Serif" w:hAnsi="PT Astra Serif"/>
          <w:b/>
          <w:sz w:val="28"/>
          <w:szCs w:val="28"/>
        </w:rPr>
        <w:t>Администрации Тазовского района</w:t>
      </w:r>
    </w:p>
    <w:p>
      <w:pPr>
        <w:tabs>
          <w:tab w:val="left" w:pos="426"/>
        </w:tabs>
        <w:spacing w:after="0" w:line="240" w:lineRule="auto"/>
        <w:jc w:val="both"/>
        <w:rPr>
          <w:rFonts w:ascii="PT Astra Serif" w:hAnsi="PT Astra Serif"/>
          <w:sz w:val="28"/>
          <w:szCs w:val="28"/>
        </w:rPr>
      </w:pPr>
    </w:p>
    <w:p>
      <w:pPr>
        <w:tabs>
          <w:tab w:val="left" w:pos="426"/>
        </w:tabs>
        <w:spacing w:after="0" w:line="240" w:lineRule="auto"/>
        <w:jc w:val="both"/>
        <w:rPr>
          <w:rFonts w:ascii="PT Astra Serif" w:hAnsi="PT Astra Serif"/>
          <w:sz w:val="28"/>
          <w:szCs w:val="28"/>
        </w:rPr>
      </w:pPr>
    </w:p>
    <w:p>
      <w:pPr>
        <w:pStyle w:val="a3"/>
        <w:numPr>
          <w:ilvl w:val="0"/>
          <w:numId w:val="13"/>
        </w:numPr>
        <w:tabs>
          <w:tab w:val="left" w:pos="426"/>
        </w:tabs>
        <w:ind w:left="0" w:firstLine="0"/>
        <w:jc w:val="center"/>
        <w:rPr>
          <w:rFonts w:ascii="PT Astra Serif" w:hAnsi="PT Astra Serif"/>
          <w:b/>
          <w:sz w:val="28"/>
          <w:szCs w:val="28"/>
        </w:rPr>
      </w:pPr>
      <w:r>
        <w:rPr>
          <w:rFonts w:ascii="PT Astra Serif" w:hAnsi="PT Astra Serif"/>
          <w:b/>
          <w:sz w:val="28"/>
          <w:szCs w:val="28"/>
        </w:rPr>
        <w:t>Общие положения</w:t>
      </w:r>
    </w:p>
    <w:p>
      <w:pPr>
        <w:tabs>
          <w:tab w:val="left" w:pos="426"/>
        </w:tabs>
        <w:spacing w:after="0" w:line="240" w:lineRule="auto"/>
        <w:jc w:val="both"/>
        <w:rPr>
          <w:rFonts w:ascii="PT Astra Serif" w:hAnsi="PT Astra Serif"/>
          <w:sz w:val="28"/>
          <w:szCs w:val="28"/>
        </w:rPr>
      </w:pPr>
    </w:p>
    <w:p>
      <w:pPr>
        <w:pStyle w:val="a3"/>
        <w:numPr>
          <w:ilvl w:val="1"/>
          <w:numId w:val="1"/>
        </w:numPr>
        <w:tabs>
          <w:tab w:val="left" w:pos="1276"/>
        </w:tabs>
        <w:ind w:left="0" w:firstLine="709"/>
        <w:jc w:val="both"/>
        <w:rPr>
          <w:rFonts w:ascii="PT Astra Serif" w:hAnsi="PT Astra Serif"/>
          <w:sz w:val="28"/>
          <w:szCs w:val="28"/>
        </w:rPr>
      </w:pPr>
      <w:r>
        <w:rPr>
          <w:rFonts w:ascii="PT Astra Serif" w:hAnsi="PT Astra Serif"/>
          <w:sz w:val="28"/>
          <w:szCs w:val="28"/>
        </w:rPr>
        <w:t>Настоящее Положение определяет функции сектора муниципального хозяйства, жизнеобеспечения и жилищных вопросов администрации села                    Газ-Сале Администрации Тазовского района (далее - сектор).</w:t>
      </w:r>
    </w:p>
    <w:p>
      <w:pPr>
        <w:pStyle w:val="a3"/>
        <w:numPr>
          <w:ilvl w:val="1"/>
          <w:numId w:val="1"/>
        </w:numPr>
        <w:tabs>
          <w:tab w:val="left" w:pos="1276"/>
        </w:tabs>
        <w:ind w:left="0" w:firstLine="709"/>
        <w:jc w:val="both"/>
        <w:rPr>
          <w:rFonts w:ascii="PT Astra Serif" w:hAnsi="PT Astra Serif"/>
          <w:sz w:val="28"/>
          <w:szCs w:val="28"/>
        </w:rPr>
      </w:pPr>
      <w:r>
        <w:rPr>
          <w:rFonts w:ascii="PT Astra Serif" w:hAnsi="PT Astra Serif"/>
          <w:sz w:val="28"/>
          <w:szCs w:val="28"/>
        </w:rPr>
        <w:t>Сектор осуществляет свою деятельность в соответствии                                            с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ПравительстваРоссийской Федерации, международными договорами Российской Федерации, нормативными правовыми актами Российской Федерации, законами Ямало-Ненецкого автономного округа, нормативными правовыми актами Ямало-Ненецкого автономного округа, постановлениями                        и распоряжениями Губернатора Ямало-Ненецкого автономного округа                             и Правительства Ямало-Ненецкого автономного округа, нормативными правовыми актами Главы Тазовского района, Администрации Тазовского района, решениями Думы Тазовского района, постановлениями                                            и распоряжениями Главы Тазовского района и Администрации Тазовского района, Положением об администрации села Газ-Сале Администрации Тазовского района, а также настоящим Положением.</w:t>
      </w:r>
    </w:p>
    <w:p>
      <w:pPr>
        <w:pStyle w:val="a3"/>
        <w:numPr>
          <w:ilvl w:val="1"/>
          <w:numId w:val="1"/>
        </w:numPr>
        <w:tabs>
          <w:tab w:val="left" w:pos="1276"/>
        </w:tabs>
        <w:ind w:left="0" w:firstLine="709"/>
        <w:jc w:val="both"/>
        <w:rPr>
          <w:rFonts w:ascii="PT Astra Serif" w:hAnsi="PT Astra Serif"/>
          <w:sz w:val="28"/>
          <w:szCs w:val="28"/>
        </w:rPr>
      </w:pPr>
      <w:r>
        <w:rPr>
          <w:rFonts w:ascii="PT Astra Serif" w:hAnsi="PT Astra Serif"/>
          <w:sz w:val="28"/>
          <w:szCs w:val="28"/>
        </w:rPr>
        <w:t>Сектор является структурным подразделением администрации села Газ-Сале Администрации Тазовского района (далее – администрация).</w:t>
      </w:r>
    </w:p>
    <w:p>
      <w:pPr>
        <w:pStyle w:val="a3"/>
        <w:numPr>
          <w:ilvl w:val="1"/>
          <w:numId w:val="1"/>
        </w:numPr>
        <w:tabs>
          <w:tab w:val="left" w:pos="1276"/>
        </w:tabs>
        <w:ind w:left="0" w:firstLine="709"/>
        <w:jc w:val="both"/>
        <w:rPr>
          <w:rFonts w:ascii="PT Astra Serif" w:hAnsi="PT Astra Serif"/>
          <w:sz w:val="28"/>
          <w:szCs w:val="28"/>
        </w:rPr>
      </w:pPr>
      <w:r>
        <w:rPr>
          <w:rFonts w:ascii="PT Astra Serif" w:hAnsi="PT Astra Serif"/>
          <w:sz w:val="28"/>
          <w:szCs w:val="28"/>
        </w:rPr>
        <w:t>Деятельность сектора организуется на основе годового плана работы администрации.</w:t>
      </w:r>
    </w:p>
    <w:p>
      <w:pPr>
        <w:pStyle w:val="a3"/>
        <w:ind w:left="0"/>
        <w:jc w:val="center"/>
        <w:rPr>
          <w:rFonts w:ascii="PT Astra Serif" w:hAnsi="PT Astra Serif"/>
          <w:sz w:val="28"/>
          <w:szCs w:val="28"/>
        </w:rPr>
      </w:pPr>
    </w:p>
    <w:p>
      <w:pPr>
        <w:pStyle w:val="ConsNormal"/>
        <w:numPr>
          <w:ilvl w:val="0"/>
          <w:numId w:val="13"/>
        </w:numPr>
        <w:tabs>
          <w:tab w:val="left" w:pos="426"/>
        </w:tabs>
        <w:ind w:left="0" w:right="0" w:firstLine="0"/>
        <w:jc w:val="center"/>
        <w:rPr>
          <w:rFonts w:ascii="PT Astra Serif" w:hAnsi="PT Astra Serif" w:cs="Times New Roman"/>
          <w:b/>
          <w:sz w:val="28"/>
          <w:szCs w:val="28"/>
        </w:rPr>
      </w:pPr>
      <w:r>
        <w:rPr>
          <w:rFonts w:ascii="PT Astra Serif" w:hAnsi="PT Astra Serif" w:cs="Times New Roman"/>
          <w:b/>
          <w:sz w:val="28"/>
          <w:szCs w:val="28"/>
        </w:rPr>
        <w:t>Муниципальные функции</w:t>
      </w:r>
    </w:p>
    <w:p>
      <w:pPr>
        <w:pStyle w:val="a3"/>
        <w:ind w:left="0"/>
        <w:jc w:val="center"/>
        <w:rPr>
          <w:rFonts w:ascii="PT Astra Serif" w:hAnsi="PT Astra Serif"/>
          <w:sz w:val="28"/>
          <w:szCs w:val="28"/>
        </w:rPr>
      </w:pPr>
    </w:p>
    <w:p>
      <w:pPr>
        <w:pStyle w:val="a3"/>
        <w:numPr>
          <w:ilvl w:val="1"/>
          <w:numId w:val="13"/>
        </w:numPr>
        <w:tabs>
          <w:tab w:val="left" w:pos="1276"/>
        </w:tabs>
        <w:ind w:left="0" w:firstLine="709"/>
        <w:jc w:val="both"/>
        <w:rPr>
          <w:rFonts w:ascii="PT Astra Serif" w:hAnsi="PT Astra Serif"/>
          <w:sz w:val="28"/>
          <w:szCs w:val="28"/>
        </w:rPr>
      </w:pPr>
      <w:r>
        <w:rPr>
          <w:rFonts w:ascii="PT Astra Serif" w:hAnsi="PT Astra Serif"/>
          <w:sz w:val="28"/>
          <w:szCs w:val="28"/>
        </w:rPr>
        <w:t>На cектор возлагается решение вопросов местного значения в сфере муниципального хозяйства, жизнеобеспечения и жилищных вопросов.</w:t>
      </w:r>
    </w:p>
    <w:p>
      <w:pPr>
        <w:pStyle w:val="ConsPlusNormal"/>
        <w:widowControl/>
        <w:jc w:val="both"/>
        <w:rPr>
          <w:rFonts w:ascii="PT Astra Serif" w:hAnsi="PT Astra Serif" w:cs="Times New Roman"/>
          <w:sz w:val="28"/>
          <w:szCs w:val="28"/>
        </w:rPr>
      </w:pPr>
      <w:r>
        <w:rPr>
          <w:rFonts w:ascii="PT Astra Serif" w:hAnsi="PT Astra Serif" w:cs="Times New Roman"/>
          <w:sz w:val="28"/>
          <w:szCs w:val="28"/>
        </w:rPr>
        <w:t>Сектор осуществляет следующие муниципальные функции:</w:t>
      </w:r>
    </w:p>
    <w:p>
      <w:pPr>
        <w:pStyle w:val="a3"/>
        <w:numPr>
          <w:ilvl w:val="2"/>
          <w:numId w:val="13"/>
        </w:numPr>
        <w:tabs>
          <w:tab w:val="left" w:pos="1560"/>
        </w:tabs>
        <w:autoSpaceDE w:val="0"/>
        <w:autoSpaceDN w:val="0"/>
        <w:adjustRightInd w:val="0"/>
        <w:ind w:left="0" w:firstLine="709"/>
        <w:jc w:val="both"/>
        <w:rPr>
          <w:rFonts w:ascii="PT Astra Serif" w:hAnsi="PT Astra Serif"/>
          <w:sz w:val="28"/>
          <w:szCs w:val="28"/>
        </w:rPr>
      </w:pPr>
      <w:r>
        <w:rPr>
          <w:rFonts w:ascii="PT Astra Serif" w:hAnsi="PT Astra Serif"/>
          <w:sz w:val="28"/>
          <w:szCs w:val="28"/>
        </w:rPr>
        <w:lastRenderedPageBreak/>
        <w:t>реализация мероприятий по благоустройству и озеленению территории села и осуществляет муниципальный контроль в сфере благоустройства;</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организация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реализация мер, направленных на предупреждение возникновения и ликвидацию на территории села свалок отходов, размещенных                                             на не отведенной для этих целей территории (несанкционированных свалок);</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организации на территории села общественных обсуждений, проведение опросов среди населения по намечаемой хозяйственной и иной деятельности, которая способна нанести вред окружающей среде;</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 xml:space="preserve">участие в экологическом просвещении населения; </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w:t>
      </w:r>
      <w:r>
        <w:rPr>
          <w:rFonts w:ascii="PT Astra Serif" w:hAnsi="PT Astra Serif"/>
          <w:spacing w:val="-20"/>
          <w:sz w:val="28"/>
          <w:szCs w:val="28"/>
        </w:rPr>
        <w:t xml:space="preserve"> в прове</w:t>
      </w:r>
      <w:r>
        <w:rPr>
          <w:rFonts w:ascii="PT Astra Serif" w:hAnsi="PT Astra Serif"/>
          <w:sz w:val="28"/>
          <w:szCs w:val="28"/>
        </w:rPr>
        <w:t>дении гигиенических и противоэпидемиологических мероприятий на территории села;</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взаимодействия с управляющими организациями независимо от организационно-правовой формы, осуществляющими деятельность в сфере управления многоквартирными домами на основании договора, по всем вопросам, возникающим в процессе надлежащей эксплуатации муниципального жилищного фонда, объектов коммунального хозяйства;</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выдача разрешений на производство работ, связанных с разрытием грунта и (или) вскрытием дорожного покрытия при строительстве, ремонте, реконструкции коммуникаций на территории села в порядке, установленном правовыми актами муниципального округа Тазовский район, а также осуществляет контроль за производством указанных работ;</w:t>
      </w:r>
    </w:p>
    <w:p>
      <w:pPr>
        <w:pStyle w:val="a3"/>
        <w:numPr>
          <w:ilvl w:val="2"/>
          <w:numId w:val="13"/>
        </w:numPr>
        <w:tabs>
          <w:tab w:val="left" w:pos="1560"/>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внесение предложений по видам, объемам, срокам и местам проведения работ по благоустройству, озеленению, ремонту и содержанию автомобильных дорог на территории села и (или) рассмотрение и согласование направляемые проекты документов по планируемым видам, объемам, срокам                         и местам проведения работ по благоустройству, озеленению, ремонту                              и содержанию автомобильных дорог на территории села, а также внесение                         в них предложения в случаях и в порядке, установленном правовыми актами муниципального округа Тазовский район;</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решении вопросов в сфере архитектуры                                          и градостроительства на территории села, в том числе:</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внесение предложения при подготовке генерального плана, проекта планировки и проекта межевания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обеспечение разработки и утверждения проектов планировки территории, участие в утверждении документов территориального планирования, проектов планировки территории;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выдача разрешения на осуществление земляных работ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lastRenderedPageBreak/>
        <w:t>участие в предоставлении разрешения на отклонение                                         от предельных параметров разрешенного строительства, реконструкцию объектов капитального строительства, расположенных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предоставлении разрешения на условно разрешенный вид использования земельных участков или объектов капитального строительства, расположенных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проведение осмотра объектов капитального строительства                         при вводе объектов в эксплуатацию (в случае если при строительстве, реконструкции объекта капитального строительства не осуществлялся государственный строительный надзор);</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проведение осмотра объектов индивидуального жилищного строительства или садового дома;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выдача предписания о демонтаже самовольно установленных рекламных конструкций на территории населенных пунктов;</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разработка и утверждение схем размещения нестационарных торговых объектов, в порядке, установленном уполномоченным органом исполнительной власти Ямало-Ненецкого автономного округа;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выдача разрешений на размещение временных объектов торговли;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мероприятиях по выявлению на территории села выморочного имущества;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мониторинга объектов незавершенного строительства, расположенных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обеспечение ведения похозяйственных книг, выдачу выписок                 из похозяйственных книг, выдачу справок по направлениям деятельности;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мероприятий по содержанию в порядке                               и благоустройству мемориальных сооружений и объектов, увековечивающих память погибших при защите Отечества, которые находятся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представление предложений о приватизации муниципального имущества, находящегося на территории села, с обоснованием целесообразности приватизации;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приватизации жилых помещений муниципального жилищного фонда, который занимают граждане на условиях социального найма;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подготовка предложений о присвоении наименований (переименовании) улицам, площадям и иным территориям проживания граждан в населенном пункте;</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 xml:space="preserve">рассмотрение документов по вопросам присвоения адресов объектам адресации, изменения,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w:t>
      </w:r>
      <w:r>
        <w:rPr>
          <w:rFonts w:ascii="PT Astra Serif" w:hAnsi="PT Astra Serif"/>
          <w:sz w:val="28"/>
          <w:szCs w:val="28"/>
        </w:rPr>
        <w:lastRenderedPageBreak/>
        <w:t>планировочной структуры в границах села, изменения, аннулирования таких наименований, размещает информацию в государственном адресном реестре;</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управления муниципальным имуществом                             и земельных отношениях, относительно объектов, расположенных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направление запросов на получение выписок из Единого государственного реестра недвижимости;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организации освещения улиц и установки указателей                                 с названиями улиц и номеров домов;</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согласование архитектурно-градостроительного облика объекта, расположенного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учета граждан, нуждающихся в жилых помещениях, предоставляемых по договору социального найма, предоставлении жилых помещений по договорам найма жилых помещений жилищного фонда социального использования;</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разработка и утверждение состава и Положения о комиссии                     по рассмотрению жилищных вопросов по населенному пункту;</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формирование списка малоимущих граждан, нуждающихся                        в жилых помещениях, предоставляемых по договору социального найма                                            по населенному пункту с последующим направлением документов                                 в управление жилищной политики Администрации Тазовского района;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 xml:space="preserve"> формирование списка граждан из числа коренных малочисленных народов Севера, нуждающихся в жилых помещениях, предоставляемых по договору социального найма с последующим направлением документов в управление жилищной политики Администрации Тазовского района;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формирование списка реабилитированных лиц и лиц, признанных пострадавшими от политических репрессий, нуждающихся в жилых помещениях, предоставляемых по договору социального найма с последующим направлением документов в управление жилищной политики Администрации Тазовского района;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прием документов, оформление учетных дел, экспертизу                       на соответствие законодательству по гражданам, проживающим в населенном пункте, направляет запросы на получение выписок из Единого государственного реестра недвижимости, с последующим направлением документов в Департамент строительства, архитектуры и жилищной политики Администрации Тазовского района;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проведение жилищной комиссии по предоставлению жилых помещений, расположенных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формирование реестра аварийного жилищного фонда                              по населенному пункту;</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заключение договоров социального найма жилых помещений                 и дополнительные соглашения к ним с гражданами, проживающими                              в населенном пункте;</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lastRenderedPageBreak/>
        <w:t>обеспечение предоставления служебных жилых помещений, жилых помещений коммерческого использования;</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обеспечение предоставления жилых помещений маневренного фонда;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подготовка предложений о распределении муниципального жилищного фонда, расположенного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организации и осуществлении мероприятий по работе             с детьми и молодежью, проживающими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обеспечении условий для развития на территории села физической культуры, школьного спорта и массового спорта, организует проведение официальных физкультурно-оздоровительных и спортивных мероприятий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деятельности, направленной на создание условий                        для развития туризма;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создании условий для организации досуга                                  и обеспечения жителей села услугами организаций культуры и искусства;</w:t>
      </w:r>
    </w:p>
    <w:p>
      <w:pPr>
        <w:pStyle w:val="a3"/>
        <w:numPr>
          <w:ilvl w:val="2"/>
          <w:numId w:val="13"/>
        </w:numPr>
        <w:tabs>
          <w:tab w:val="left" w:pos="709"/>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содействие национально-культурному развитию народов Российской Федерации и реализации мероприятий в сфере межнациональных отношений на территории села;</w:t>
      </w:r>
    </w:p>
    <w:p>
      <w:pPr>
        <w:pStyle w:val="a3"/>
        <w:numPr>
          <w:ilvl w:val="2"/>
          <w:numId w:val="13"/>
        </w:numPr>
        <w:tabs>
          <w:tab w:val="left" w:pos="709"/>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взаимодействия в установленном действующим законодательством порядке с органами государственной власти, органами местного самоуправления и иными организациями всех форм собственности по вопросам своей компетенции;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создание условий для предоставления транспортных услуг населению и организациям транспортного обслуживания населения в границах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создание условий для обеспечения жителей села услугами связи, общественного питания, торговли и бытового обслуживания;</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дорожной деятельность в отношении автомобильных дорог местного значения, расположенных в границах села,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села, организацию дорожного движения,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выдача разрешения на движение по автомобильным дорогам расположенным в границах села тяжеловесного и (или) крупногабаритного транспортного средства;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 xml:space="preserve">выдача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села, а также посадки (взлета) на расположенные в границах </w:t>
      </w:r>
      <w:r>
        <w:rPr>
          <w:rFonts w:ascii="PT Astra Serif" w:hAnsi="PT Astra Serif"/>
          <w:sz w:val="28"/>
          <w:szCs w:val="28"/>
        </w:rPr>
        <w:lastRenderedPageBreak/>
        <w:t>поселения, сведения о которых не опубликованы в документах аэронавигационной информации;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реализации мероприятий по охране окружающей среды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реализация мероприятия по содержанию и обустройству мест захоронения;</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осуществлении муниципальных функций, оказании муниципальных услуг в пределах своих полномочий;</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обеспечение соблюдения юридическими лицами, индивидуальными предпринимателями и гражданами совокупности предъявляемых обязательных требований, установленных в отношении муниципального жилищного фонда федеральными законами и законами Ямало-Ненецкого автономного округа, а также муниципальными правовыми актами                   в области жилищных отношений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информационное взаимодействие с организациями, осуществляющими поставки ресурсов, необходимых для предоставления коммунальных услуг, в многоквартирные дома, жилые дома, а также лицами, оказывающими услуги, выполняющими работы по содержанию и ремонту общего имущества собственников помещений в многоквартирных домах                              и предоставляющими коммунальные услуги, в порядке, установленном статьей 165 Жилищного кодекса Российской Федерации;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организация работу по проведению торгов по отбору управляющих организаций для управления многоквартирными домами, расположенными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мониторинга технического состояния жилищного фонда, расположенного на территории села, независимо от форм собственности;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проведение по обращениям собственников помещений                                       в многоквартирном доме, расположенном на территории села, граждан, юридических лиц проверки выполнения управляющей организацией условий договора управления многоквартирным домом;</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координация деятельности муниципальных комиссий                              по обследованию жилых помещений инвалидов и общего имущества                               в многоквартирных домах, в которых проживают инвалиды, входящих в состав муниципального жилого фонда, а также частного жилищного фонда;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разработке схем электро-, тепло-, газо-                                        и водоснабжения населения, водоотведения и программы комплексного развития в населенном пункте;</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координация работы по предупреждению и ликвидации последствий чрезвычайных ситуаций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организации и осуществлении мероприятий                            по гражданской обороне, защите населения и территории села от чрезвычайных ситуаций природного и техногенного характера, в том числе:</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lastRenderedPageBreak/>
        <w:t>осуществление мероприятий по обеспечению безопасности людей на водных объектах, охране их жизни и здоровья;</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реализация первичных мер пожарной безопасности в границах села в порядке, установленном Федеральным законом «О пожарной безопасности»;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реализация мероприятий по созданию условий для массового отдыха жителей села и организации обустройства мест массового отдыха населения;</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осуществлении организационных мероприятий по подготовке и проведению муниципальных выборов, местного референдума, голосованию по отзыву депутата, члена выборного органа местного самоуправления, выборного должностного лица местного самоуправления, голосованию по вопросам изменения границ муниципального округа Тазовский район, преобразования муниципального округа Тазовский район;</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содействие сохранению и развитию местных традиций, обычаев малочисленных народов Севера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содействие работе, направленной:</w:t>
      </w:r>
    </w:p>
    <w:p>
      <w:pPr>
        <w:pStyle w:val="a3"/>
        <w:numPr>
          <w:ilvl w:val="0"/>
          <w:numId w:val="14"/>
        </w:numPr>
        <w:tabs>
          <w:tab w:val="left" w:pos="1134"/>
          <w:tab w:val="left" w:pos="1701"/>
        </w:tabs>
        <w:autoSpaceDE w:val="0"/>
        <w:autoSpaceDN w:val="0"/>
        <w:adjustRightInd w:val="0"/>
        <w:ind w:left="0" w:firstLine="709"/>
        <w:jc w:val="both"/>
        <w:rPr>
          <w:rFonts w:ascii="PT Astra Serif" w:hAnsi="PT Astra Serif"/>
          <w:sz w:val="28"/>
          <w:szCs w:val="28"/>
        </w:rPr>
      </w:pPr>
      <w:r>
        <w:rPr>
          <w:rFonts w:ascii="PT Astra Serif" w:hAnsi="PT Astra Serif"/>
          <w:sz w:val="28"/>
          <w:szCs w:val="28"/>
        </w:rPr>
        <w:t>на профилактическую работу с семьями, находящимися в трудной жизненной ситуации, социально опасном положении;</w:t>
      </w:r>
    </w:p>
    <w:p>
      <w:pPr>
        <w:pStyle w:val="a3"/>
        <w:numPr>
          <w:ilvl w:val="0"/>
          <w:numId w:val="14"/>
        </w:numPr>
        <w:tabs>
          <w:tab w:val="left" w:pos="1134"/>
          <w:tab w:val="left" w:pos="1701"/>
        </w:tabs>
        <w:autoSpaceDE w:val="0"/>
        <w:autoSpaceDN w:val="0"/>
        <w:adjustRightInd w:val="0"/>
        <w:ind w:left="0" w:firstLine="709"/>
        <w:jc w:val="both"/>
        <w:rPr>
          <w:rFonts w:ascii="PT Astra Serif" w:hAnsi="PT Astra Serif"/>
          <w:sz w:val="28"/>
          <w:szCs w:val="28"/>
        </w:rPr>
      </w:pPr>
      <w:r>
        <w:rPr>
          <w:rFonts w:ascii="PT Astra Serif" w:hAnsi="PT Astra Serif"/>
          <w:sz w:val="28"/>
          <w:szCs w:val="28"/>
        </w:rPr>
        <w:t xml:space="preserve">на профилактику социального сиротства и жестокого обращения                              с детьми; </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содействие органу опеки и попечительства в поиске родственников ребенка, проживающих на территории села, с целью преимущественного права принять его на воспитание в семью;</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муниципальной функции по муниципальному контролю за соблюдением законодательства в области розничной продажи алкогольной продукции, в области торговой деятельности, за организацией                        и осуществлением деятельности по продаже товаров (выполнению работ, оказанию услуг) на розничных рынках, на территории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 осуществление реализации примерного перечня организационных мер по антитеррористической защищенности многоквартирных домов;</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обеспечение выполнений требований, установленных правилами оценки готовности села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контроль и координация деятельности по выполнению организационно-технических мероприятий по подготовке объектов жилищного фонда, социального назначения, энергоснабжения и инженерной инфраструктуры к работе в осенне-зимний период;</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lastRenderedPageBreak/>
        <w:t>осуществление разработки предложений, направленных                           на стратегическое планирование развития отрасли жилищно-коммунального хозяйства в рамках своей компетенции;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разработке и реализации программ в сфере энергетики в пределах возложенных полномочий;</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формировании данных для определения бюджетных средств на содержание, капитальный и текущий ремонт, реконструкции объектов коммунальной инфраструктуры и энергетики;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 xml:space="preserve">ведение реестра жилищного фонда независимо от формы собственности, признанного в установленном порядке аварийным                                   и подлежащим сносу на территории села,  составляет график движения жилищного фонда за соответствующий период на основании подтверждающих документов (распоряжений, постановлений, актов приема-передачи, техпаспортов и т.д.); </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обеспечение деятельности межведомственной комиссии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мероприятий по сносу аварийных многоквартирных домов и строений, не предназначенных для проживания (балков);</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мероприятий по капитальному ремонту объектов муниципального жилищного фонда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осуществление муниципального жилищного контроля в границах села;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участие в осуществлении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оказание поддержки гражданам и их объединениям, участвующим в охране общественного порядка, создание условий                                       для деятельности народных дружин в порядке установленном муниципальными правовыми актами Администрации Тазовского района;</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совершение нотариальных действий, предусмотренные статьей 37 Основ законодательства Российской Федерации о нотариате;</w:t>
      </w:r>
    </w:p>
    <w:p>
      <w:pPr>
        <w:pStyle w:val="a3"/>
        <w:numPr>
          <w:ilvl w:val="2"/>
          <w:numId w:val="13"/>
        </w:numPr>
        <w:tabs>
          <w:tab w:val="left" w:pos="1701"/>
        </w:tabs>
        <w:autoSpaceDE w:val="0"/>
        <w:autoSpaceDN w:val="0"/>
        <w:adjustRightInd w:val="0"/>
        <w:ind w:left="0" w:firstLine="720"/>
        <w:jc w:val="both"/>
        <w:rPr>
          <w:rFonts w:ascii="PT Astra Serif" w:hAnsi="PT Astra Serif"/>
          <w:sz w:val="28"/>
          <w:szCs w:val="28"/>
        </w:rPr>
      </w:pPr>
      <w:r>
        <w:rPr>
          <w:rFonts w:ascii="PT Astra Serif" w:hAnsi="PT Astra Serif"/>
          <w:sz w:val="28"/>
          <w:szCs w:val="28"/>
        </w:rPr>
        <w:t>содействие в реализации полномочий избирательных комиссий (комиссий референдума);</w:t>
      </w:r>
    </w:p>
    <w:p>
      <w:pPr>
        <w:pStyle w:val="a3"/>
        <w:numPr>
          <w:ilvl w:val="2"/>
          <w:numId w:val="13"/>
        </w:numPr>
        <w:tabs>
          <w:tab w:val="left" w:pos="1701"/>
        </w:tabs>
        <w:autoSpaceDE w:val="0"/>
        <w:autoSpaceDN w:val="0"/>
        <w:adjustRightInd w:val="0"/>
        <w:ind w:left="0" w:firstLine="709"/>
        <w:jc w:val="both"/>
        <w:rPr>
          <w:rFonts w:ascii="PT Astra Serif" w:hAnsi="PT Astra Serif"/>
          <w:sz w:val="28"/>
          <w:szCs w:val="28"/>
        </w:rPr>
      </w:pPr>
      <w:r>
        <w:rPr>
          <w:rFonts w:ascii="PT Astra Serif" w:hAnsi="PT Astra Serif" w:cs="PT Astra Serif"/>
          <w:sz w:val="28"/>
          <w:szCs w:val="28"/>
        </w:rPr>
        <w:t>осуществление деятельности по обращению с животными                       без владельцев, обитающими на территории села Газ-Сале;</w:t>
      </w:r>
    </w:p>
    <w:p>
      <w:pPr>
        <w:pStyle w:val="a3"/>
        <w:numPr>
          <w:ilvl w:val="2"/>
          <w:numId w:val="13"/>
        </w:numPr>
        <w:tabs>
          <w:tab w:val="left" w:pos="1701"/>
        </w:tabs>
        <w:autoSpaceDE w:val="0"/>
        <w:autoSpaceDN w:val="0"/>
        <w:adjustRightInd w:val="0"/>
        <w:ind w:left="0" w:firstLine="709"/>
        <w:jc w:val="both"/>
        <w:rPr>
          <w:rFonts w:ascii="PT Astra Serif" w:hAnsi="PT Astra Serif"/>
          <w:sz w:val="28"/>
          <w:szCs w:val="28"/>
        </w:rPr>
      </w:pPr>
      <w:r>
        <w:rPr>
          <w:rFonts w:ascii="PT Astra Serif" w:hAnsi="PT Astra Serif"/>
          <w:sz w:val="28"/>
          <w:szCs w:val="28"/>
        </w:rPr>
        <w:t>разрабатывает и выносит на рассмотрение в установленном порядке предложения и проекты по основным направлениям деятельности администрации для рассмотрения и утверждения Главой Тазовского района                      и его заместителями;</w:t>
      </w:r>
    </w:p>
    <w:p>
      <w:pPr>
        <w:pStyle w:val="a3"/>
        <w:numPr>
          <w:ilvl w:val="2"/>
          <w:numId w:val="13"/>
        </w:numPr>
        <w:tabs>
          <w:tab w:val="left" w:pos="1701"/>
        </w:tabs>
        <w:ind w:left="0" w:firstLine="709"/>
        <w:jc w:val="both"/>
        <w:rPr>
          <w:rFonts w:ascii="PT Astra Serif" w:hAnsi="PT Astra Serif" w:cs="PT Astra Serif"/>
          <w:sz w:val="28"/>
          <w:szCs w:val="28"/>
        </w:rPr>
      </w:pPr>
      <w:r>
        <w:rPr>
          <w:rFonts w:ascii="PT Astra Serif" w:hAnsi="PT Astra Serif" w:cs="PT Astra Serif"/>
          <w:sz w:val="28"/>
          <w:szCs w:val="28"/>
        </w:rPr>
        <w:lastRenderedPageBreak/>
        <w:t>осуществляет подготовку, обработку и предоставление статистической, годовой, квартальной и ежемесячной отчетности                                            с последующем предоставлением в Администрацию Тазовского района.</w:t>
      </w:r>
    </w:p>
    <w:p>
      <w:pPr>
        <w:pStyle w:val="a3"/>
        <w:autoSpaceDE w:val="0"/>
        <w:autoSpaceDN w:val="0"/>
        <w:adjustRightInd w:val="0"/>
        <w:ind w:left="0"/>
        <w:jc w:val="both"/>
        <w:rPr>
          <w:rFonts w:ascii="PT Astra Serif" w:hAnsi="PT Astra Serif"/>
          <w:sz w:val="28"/>
          <w:szCs w:val="28"/>
        </w:rPr>
      </w:pPr>
    </w:p>
    <w:p>
      <w:pPr>
        <w:pStyle w:val="a3"/>
        <w:numPr>
          <w:ilvl w:val="0"/>
          <w:numId w:val="13"/>
        </w:numPr>
        <w:tabs>
          <w:tab w:val="left" w:pos="567"/>
        </w:tabs>
        <w:ind w:left="0" w:firstLine="0"/>
        <w:jc w:val="center"/>
        <w:rPr>
          <w:rFonts w:ascii="PT Astra Serif" w:hAnsi="PT Astra Serif"/>
          <w:b/>
          <w:sz w:val="28"/>
          <w:szCs w:val="28"/>
        </w:rPr>
      </w:pPr>
      <w:r>
        <w:rPr>
          <w:rFonts w:ascii="PT Astra Serif" w:hAnsi="PT Astra Serif"/>
          <w:b/>
          <w:sz w:val="28"/>
          <w:szCs w:val="28"/>
        </w:rPr>
        <w:t>Права</w:t>
      </w:r>
    </w:p>
    <w:p>
      <w:pPr>
        <w:pStyle w:val="a3"/>
        <w:autoSpaceDE w:val="0"/>
        <w:autoSpaceDN w:val="0"/>
        <w:adjustRightInd w:val="0"/>
        <w:ind w:left="0"/>
        <w:jc w:val="both"/>
        <w:rPr>
          <w:rFonts w:ascii="PT Astra Serif" w:hAnsi="PT Astra Serif"/>
          <w:sz w:val="28"/>
          <w:szCs w:val="28"/>
        </w:rPr>
      </w:pPr>
    </w:p>
    <w:p>
      <w:pPr>
        <w:pStyle w:val="a3"/>
        <w:numPr>
          <w:ilvl w:val="1"/>
          <w:numId w:val="13"/>
        </w:numPr>
        <w:tabs>
          <w:tab w:val="left" w:pos="1276"/>
        </w:tabs>
        <w:autoSpaceDE w:val="0"/>
        <w:autoSpaceDN w:val="0"/>
        <w:adjustRightInd w:val="0"/>
        <w:ind w:left="0" w:firstLine="720"/>
        <w:jc w:val="both"/>
        <w:rPr>
          <w:rFonts w:ascii="PT Astra Serif" w:hAnsi="PT Astra Serif"/>
          <w:sz w:val="28"/>
          <w:szCs w:val="28"/>
        </w:rPr>
      </w:pPr>
      <w:r>
        <w:rPr>
          <w:rFonts w:ascii="PT Astra Serif" w:hAnsi="PT Astra Serif"/>
          <w:spacing w:val="-3"/>
          <w:sz w:val="28"/>
          <w:szCs w:val="28"/>
        </w:rPr>
        <w:t>Сектор имеет право:</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запрашивать и получать от имени администрации необходимую информацию от предприятий, учреждений и организаций, участвующих                         в реализации программ, относящуюся к компетенции сектора;</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оказывать содействие предприятиям, организациям, учреждениям по вопросам, входящим в компетенцию сектора;</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участвовать в разработке проектов муниципальных правовых актов Администрации Тазовского района в пределах своей компетенции;</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использовать для работы компьютерную и множительную</w:t>
      </w:r>
      <w:r>
        <w:rPr>
          <w:rFonts w:ascii="PT Astra Serif" w:hAnsi="PT Astra Serif"/>
          <w:spacing w:val="-3"/>
          <w:sz w:val="28"/>
          <w:szCs w:val="28"/>
        </w:rPr>
        <w:t xml:space="preserve">технику, </w:t>
      </w:r>
      <w:r>
        <w:rPr>
          <w:rFonts w:ascii="PT Astra Serif" w:hAnsi="PT Astra Serif"/>
          <w:sz w:val="28"/>
          <w:szCs w:val="28"/>
        </w:rPr>
        <w:t>средства связи и коммуникации. Пользоваться в установленном порядке информационными банками данных администрации;</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вносить на рассмотрение главы администрации предложения                           для принятия решений по реализации функций, возложенных на сектор;</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вносить на рассмотрение и утверждение главеадминистрации проекты приказов по вопросам деятельности сектора;</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контролировать ход выполнения приказов главы администрации                     в сфере муниципального хозяйства, жизнеобеспечения и жилищных вопросов;</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вносить предложения главе администрации по улучшению работы с кадрами и совершенствованию системы администрации в сфере муниципального хозяйства, жизнеобеспечения и жилищных вопросов;</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осуществлять иные права в соответствии с законодательством Российской Федерации, Ямало-Ненецкого автономного округа, муниципальными правовыми актами Тазовского района, Положением                                 об администрации.</w:t>
      </w:r>
    </w:p>
    <w:p>
      <w:pPr>
        <w:pStyle w:val="a3"/>
        <w:ind w:left="0"/>
        <w:jc w:val="center"/>
        <w:rPr>
          <w:rFonts w:ascii="PT Astra Serif" w:hAnsi="PT Astra Serif"/>
          <w:sz w:val="28"/>
          <w:szCs w:val="28"/>
        </w:rPr>
      </w:pPr>
    </w:p>
    <w:p>
      <w:pPr>
        <w:pStyle w:val="a3"/>
        <w:numPr>
          <w:ilvl w:val="0"/>
          <w:numId w:val="13"/>
        </w:numPr>
        <w:tabs>
          <w:tab w:val="left" w:pos="567"/>
        </w:tabs>
        <w:ind w:left="0" w:firstLine="0"/>
        <w:jc w:val="center"/>
        <w:rPr>
          <w:rFonts w:ascii="PT Astra Serif" w:hAnsi="PT Astra Serif"/>
          <w:b/>
          <w:sz w:val="28"/>
          <w:szCs w:val="28"/>
        </w:rPr>
      </w:pPr>
      <w:r>
        <w:rPr>
          <w:rFonts w:ascii="PT Astra Serif" w:hAnsi="PT Astra Serif"/>
          <w:b/>
          <w:sz w:val="28"/>
          <w:szCs w:val="28"/>
        </w:rPr>
        <w:t>Организация деятельности</w:t>
      </w:r>
    </w:p>
    <w:p>
      <w:pPr>
        <w:pStyle w:val="a3"/>
        <w:ind w:left="0"/>
        <w:jc w:val="center"/>
        <w:rPr>
          <w:rFonts w:ascii="PT Astra Serif" w:hAnsi="PT Astra Serif"/>
          <w:sz w:val="28"/>
          <w:szCs w:val="28"/>
        </w:rPr>
      </w:pPr>
    </w:p>
    <w:p>
      <w:pPr>
        <w:pStyle w:val="a3"/>
        <w:numPr>
          <w:ilvl w:val="1"/>
          <w:numId w:val="13"/>
        </w:numPr>
        <w:tabs>
          <w:tab w:val="left" w:pos="1276"/>
        </w:tabs>
        <w:ind w:left="0" w:firstLine="709"/>
        <w:jc w:val="both"/>
        <w:rPr>
          <w:rFonts w:ascii="PT Astra Serif" w:hAnsi="PT Astra Serif"/>
          <w:sz w:val="28"/>
          <w:szCs w:val="28"/>
        </w:rPr>
      </w:pPr>
      <w:r>
        <w:rPr>
          <w:rFonts w:ascii="PT Astra Serif" w:hAnsi="PT Astra Serif"/>
          <w:sz w:val="28"/>
          <w:szCs w:val="28"/>
        </w:rPr>
        <w:t>Сектор возглавляет заместитель главы, заведующий сектором, назначаемый на должность и освобождаемый от должности главой администрации.</w:t>
      </w:r>
    </w:p>
    <w:p>
      <w:pPr>
        <w:pStyle w:val="a3"/>
        <w:numPr>
          <w:ilvl w:val="1"/>
          <w:numId w:val="13"/>
        </w:numPr>
        <w:tabs>
          <w:tab w:val="left" w:pos="1276"/>
        </w:tabs>
        <w:ind w:left="0" w:firstLine="709"/>
        <w:jc w:val="both"/>
        <w:rPr>
          <w:rFonts w:ascii="PT Astra Serif" w:hAnsi="PT Astra Serif"/>
          <w:sz w:val="28"/>
          <w:szCs w:val="28"/>
        </w:rPr>
      </w:pPr>
      <w:r>
        <w:rPr>
          <w:rFonts w:ascii="PT Astra Serif" w:hAnsi="PT Astra Serif"/>
          <w:sz w:val="28"/>
          <w:szCs w:val="28"/>
        </w:rPr>
        <w:t>Заместитель главы, заведующий сектором действует на основании действующего законодательства Российской Федерации, Устава муниципального округа Тазовский район Ямало-Ненецкого автономного округа, Положения об администрации, Положения о секторе, должностной инструкцией.</w:t>
      </w:r>
    </w:p>
    <w:p>
      <w:pPr>
        <w:pStyle w:val="a3"/>
        <w:numPr>
          <w:ilvl w:val="1"/>
          <w:numId w:val="13"/>
        </w:numPr>
        <w:tabs>
          <w:tab w:val="left" w:pos="1276"/>
        </w:tabs>
        <w:ind w:left="0" w:firstLine="709"/>
        <w:jc w:val="both"/>
        <w:rPr>
          <w:rFonts w:ascii="PT Astra Serif" w:hAnsi="PT Astra Serif"/>
          <w:sz w:val="28"/>
          <w:szCs w:val="28"/>
        </w:rPr>
      </w:pPr>
      <w:r>
        <w:rPr>
          <w:rFonts w:ascii="PT Astra Serif" w:hAnsi="PT Astra Serif"/>
          <w:sz w:val="28"/>
          <w:szCs w:val="28"/>
        </w:rPr>
        <w:t xml:space="preserve">В случае временного отсутствия заместителя главы, заведующего сектором в связи с болезнью, отпуском или командировкой его обязанности </w:t>
      </w:r>
      <w:r>
        <w:rPr>
          <w:rFonts w:ascii="PT Astra Serif" w:hAnsi="PT Astra Serif"/>
          <w:sz w:val="28"/>
          <w:szCs w:val="28"/>
        </w:rPr>
        <w:lastRenderedPageBreak/>
        <w:t xml:space="preserve">исполняет главный специалист сектора или иное должностное лицо                                                   с возложением на него обязанностей в установленном порядке. </w:t>
      </w:r>
    </w:p>
    <w:p>
      <w:pPr>
        <w:pStyle w:val="a3"/>
        <w:numPr>
          <w:ilvl w:val="1"/>
          <w:numId w:val="13"/>
        </w:numPr>
        <w:tabs>
          <w:tab w:val="left" w:pos="1276"/>
        </w:tabs>
        <w:ind w:left="0" w:firstLine="709"/>
        <w:jc w:val="both"/>
        <w:rPr>
          <w:rFonts w:ascii="PT Astra Serif" w:hAnsi="PT Astra Serif"/>
          <w:sz w:val="28"/>
          <w:szCs w:val="28"/>
        </w:rPr>
      </w:pPr>
      <w:r>
        <w:rPr>
          <w:rFonts w:ascii="PT Astra Serif" w:hAnsi="PT Astra Serif"/>
          <w:sz w:val="28"/>
          <w:szCs w:val="28"/>
        </w:rPr>
        <w:t>Заместитель главы, заведующий сектором:</w:t>
      </w:r>
    </w:p>
    <w:p>
      <w:pPr>
        <w:pStyle w:val="a3"/>
        <w:numPr>
          <w:ilvl w:val="2"/>
          <w:numId w:val="13"/>
        </w:numPr>
        <w:tabs>
          <w:tab w:val="left" w:pos="1276"/>
          <w:tab w:val="left" w:pos="1560"/>
        </w:tabs>
        <w:ind w:left="0" w:firstLine="709"/>
        <w:jc w:val="both"/>
        <w:rPr>
          <w:rFonts w:ascii="PT Astra Serif" w:hAnsi="PT Astra Serif"/>
          <w:sz w:val="28"/>
          <w:szCs w:val="28"/>
        </w:rPr>
      </w:pPr>
      <w:r>
        <w:rPr>
          <w:rFonts w:ascii="PT Astra Serif" w:hAnsi="PT Astra Serif"/>
          <w:sz w:val="28"/>
          <w:szCs w:val="28"/>
        </w:rPr>
        <w:t>организует деятельность сектора и несет персональную ответственность за выполнение возложенных на сектор функций;</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распределяет должностные обязанности между сотрудниками сектора;</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вносит в установленном порядке для утверждения главе администрации проекты постановлений и распоряжений Главы Тазовского района, другие документы в пределах полномочий, возложенных на сектор;</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обеспечивает соблюдение сотрудниками сектора правил охраны труда, трудовой дисциплины и требований, установленных должностными инструкциями;</w:t>
      </w:r>
    </w:p>
    <w:p>
      <w:pPr>
        <w:pStyle w:val="a3"/>
        <w:numPr>
          <w:ilvl w:val="2"/>
          <w:numId w:val="13"/>
        </w:numPr>
        <w:tabs>
          <w:tab w:val="left" w:pos="1560"/>
        </w:tabs>
        <w:ind w:left="0" w:firstLine="709"/>
        <w:jc w:val="both"/>
        <w:rPr>
          <w:rFonts w:ascii="PT Astra Serif" w:hAnsi="PT Astra Serif"/>
          <w:sz w:val="28"/>
          <w:szCs w:val="28"/>
        </w:rPr>
      </w:pPr>
      <w:r>
        <w:rPr>
          <w:rFonts w:ascii="PT Astra Serif" w:hAnsi="PT Astra Serif"/>
          <w:sz w:val="28"/>
          <w:szCs w:val="28"/>
        </w:rPr>
        <w:t>осуществляет иные полномочия, установленные федеральным законодательством, законодательством Ямало-Ненецкого автономного округа, муниципальными правовыми актами Тазовского района.</w:t>
      </w:r>
    </w:p>
    <w:p>
      <w:pPr>
        <w:pStyle w:val="a3"/>
        <w:tabs>
          <w:tab w:val="left" w:pos="1560"/>
        </w:tabs>
        <w:ind w:left="0"/>
        <w:jc w:val="center"/>
        <w:rPr>
          <w:rFonts w:ascii="PT Astra Serif" w:hAnsi="PT Astra Serif"/>
          <w:sz w:val="28"/>
          <w:szCs w:val="28"/>
        </w:rPr>
      </w:pPr>
    </w:p>
    <w:p>
      <w:pPr>
        <w:pStyle w:val="a3"/>
        <w:numPr>
          <w:ilvl w:val="0"/>
          <w:numId w:val="13"/>
        </w:numPr>
        <w:tabs>
          <w:tab w:val="left" w:pos="426"/>
        </w:tabs>
        <w:ind w:left="0" w:firstLine="0"/>
        <w:jc w:val="center"/>
        <w:rPr>
          <w:rFonts w:ascii="PT Astra Serif" w:hAnsi="PT Astra Serif"/>
          <w:b/>
          <w:sz w:val="28"/>
          <w:szCs w:val="28"/>
        </w:rPr>
      </w:pPr>
      <w:r>
        <w:rPr>
          <w:rFonts w:ascii="PT Astra Serif" w:hAnsi="PT Astra Serif"/>
          <w:b/>
          <w:sz w:val="28"/>
          <w:szCs w:val="28"/>
        </w:rPr>
        <w:t>Прекращение деятельности Сектора</w:t>
      </w:r>
    </w:p>
    <w:p>
      <w:pPr>
        <w:pStyle w:val="a3"/>
        <w:ind w:left="0"/>
        <w:jc w:val="center"/>
        <w:rPr>
          <w:rFonts w:ascii="PT Astra Serif" w:hAnsi="PT Astra Serif"/>
          <w:sz w:val="28"/>
          <w:szCs w:val="28"/>
        </w:rPr>
      </w:pPr>
    </w:p>
    <w:p>
      <w:pPr>
        <w:pStyle w:val="a3"/>
        <w:ind w:left="0" w:firstLine="709"/>
        <w:jc w:val="both"/>
        <w:rPr>
          <w:rFonts w:ascii="PT Astra Serif" w:hAnsi="PT Astra Serif"/>
          <w:sz w:val="28"/>
          <w:szCs w:val="28"/>
        </w:rPr>
      </w:pPr>
      <w:r>
        <w:rPr>
          <w:rFonts w:ascii="PT Astra Serif" w:hAnsi="PT Astra Serif"/>
          <w:sz w:val="28"/>
          <w:szCs w:val="28"/>
        </w:rPr>
        <w:t>Сектор прекращает свою деятельность в соответствии с решением Главы Тазовского района в порядке, установленном законодательством Российской Федерации.</w:t>
      </w: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p>
      <w:pPr>
        <w:pStyle w:val="a3"/>
        <w:ind w:left="0" w:firstLine="709"/>
        <w:jc w:val="both"/>
        <w:rPr>
          <w:rFonts w:ascii="PT Astra Serif" w:hAnsi="PT Astra Serif"/>
          <w:sz w:val="28"/>
          <w:szCs w:val="28"/>
        </w:rPr>
      </w:pPr>
    </w:p>
    <w:sectPr>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 xml:space="preserve"> PAGE   \* MERGEFORMAT </w:instrText>
    </w:r>
    <w:r>
      <w:rPr>
        <w:rFonts w:ascii="PT Astra Serif" w:hAnsi="PT Astra Serif"/>
        <w:sz w:val="24"/>
      </w:rPr>
      <w:fldChar w:fldCharType="separate"/>
    </w:r>
    <w:r>
      <w:rPr>
        <w:rFonts w:ascii="PT Astra Serif" w:hAnsi="PT Astra Serif"/>
        <w:noProof/>
        <w:sz w:val="24"/>
      </w:rPr>
      <w:t>3</w:t>
    </w:r>
    <w:r>
      <w:rPr>
        <w:rFonts w:ascii="PT Astra Serif" w:hAnsi="PT Astra Serif"/>
        <w:sz w:val="24"/>
      </w:rPr>
      <w:fldChar w:fldCharType="end"/>
    </w:r>
  </w:p>
  <w:p>
    <w:pPr>
      <w:pStyle w:val="a4"/>
      <w:jc w:val="center"/>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0FFF"/>
    <w:multiLevelType w:val="hybridMultilevel"/>
    <w:tmpl w:val="D8887174"/>
    <w:lvl w:ilvl="0" w:tplc="B85C39EA">
      <w:start w:val="1"/>
      <w:numFmt w:val="decimal"/>
      <w:lvlText w:val="%1)"/>
      <w:lvlJc w:val="left"/>
      <w:pPr>
        <w:ind w:left="688" w:hanging="405"/>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123A5E22"/>
    <w:multiLevelType w:val="multilevel"/>
    <w:tmpl w:val="F9D60972"/>
    <w:lvl w:ilvl="0">
      <w:start w:val="1"/>
      <w:numFmt w:val="decimal"/>
      <w:lvlText w:val="%1."/>
      <w:lvlJc w:val="left"/>
      <w:pPr>
        <w:ind w:left="450" w:hanging="450"/>
      </w:pPr>
      <w:rPr>
        <w:rFonts w:hint="default"/>
        <w:color w:val="000000"/>
      </w:rPr>
    </w:lvl>
    <w:lvl w:ilvl="1">
      <w:start w:val="1"/>
      <w:numFmt w:val="decimal"/>
      <w:lvlText w:val="%1.%2."/>
      <w:lvlJc w:val="left"/>
      <w:pPr>
        <w:ind w:left="2149" w:hanging="720"/>
      </w:pPr>
      <w:rPr>
        <w:rFonts w:hint="default"/>
        <w:color w:val="000000"/>
      </w:rPr>
    </w:lvl>
    <w:lvl w:ilvl="2">
      <w:start w:val="1"/>
      <w:numFmt w:val="decimal"/>
      <w:lvlText w:val="%1.%2.%3."/>
      <w:lvlJc w:val="left"/>
      <w:pPr>
        <w:ind w:left="3578" w:hanging="720"/>
      </w:pPr>
      <w:rPr>
        <w:rFonts w:hint="default"/>
        <w:color w:val="000000"/>
      </w:rPr>
    </w:lvl>
    <w:lvl w:ilvl="3">
      <w:start w:val="1"/>
      <w:numFmt w:val="decimal"/>
      <w:lvlText w:val="%1.%2.%3.%4."/>
      <w:lvlJc w:val="left"/>
      <w:pPr>
        <w:ind w:left="5367" w:hanging="1080"/>
      </w:pPr>
      <w:rPr>
        <w:rFonts w:hint="default"/>
        <w:color w:val="000000"/>
      </w:rPr>
    </w:lvl>
    <w:lvl w:ilvl="4">
      <w:start w:val="1"/>
      <w:numFmt w:val="decimal"/>
      <w:lvlText w:val="%1.%2.%3.%4.%5."/>
      <w:lvlJc w:val="left"/>
      <w:pPr>
        <w:ind w:left="6796" w:hanging="1080"/>
      </w:pPr>
      <w:rPr>
        <w:rFonts w:hint="default"/>
        <w:color w:val="000000"/>
      </w:rPr>
    </w:lvl>
    <w:lvl w:ilvl="5">
      <w:start w:val="1"/>
      <w:numFmt w:val="decimal"/>
      <w:lvlText w:val="%1.%2.%3.%4.%5.%6."/>
      <w:lvlJc w:val="left"/>
      <w:pPr>
        <w:ind w:left="8585" w:hanging="1440"/>
      </w:pPr>
      <w:rPr>
        <w:rFonts w:hint="default"/>
        <w:color w:val="000000"/>
      </w:rPr>
    </w:lvl>
    <w:lvl w:ilvl="6">
      <w:start w:val="1"/>
      <w:numFmt w:val="decimal"/>
      <w:lvlText w:val="%1.%2.%3.%4.%5.%6.%7."/>
      <w:lvlJc w:val="left"/>
      <w:pPr>
        <w:ind w:left="10374" w:hanging="1800"/>
      </w:pPr>
      <w:rPr>
        <w:rFonts w:hint="default"/>
        <w:color w:val="000000"/>
      </w:rPr>
    </w:lvl>
    <w:lvl w:ilvl="7">
      <w:start w:val="1"/>
      <w:numFmt w:val="decimal"/>
      <w:lvlText w:val="%1.%2.%3.%4.%5.%6.%7.%8."/>
      <w:lvlJc w:val="left"/>
      <w:pPr>
        <w:ind w:left="11803" w:hanging="1800"/>
      </w:pPr>
      <w:rPr>
        <w:rFonts w:hint="default"/>
        <w:color w:val="000000"/>
      </w:rPr>
    </w:lvl>
    <w:lvl w:ilvl="8">
      <w:start w:val="1"/>
      <w:numFmt w:val="decimal"/>
      <w:lvlText w:val="%1.%2.%3.%4.%5.%6.%7.%8.%9."/>
      <w:lvlJc w:val="left"/>
      <w:pPr>
        <w:ind w:left="13592" w:hanging="2160"/>
      </w:pPr>
      <w:rPr>
        <w:rFonts w:hint="default"/>
        <w:color w:val="000000"/>
      </w:rPr>
    </w:lvl>
  </w:abstractNum>
  <w:abstractNum w:abstractNumId="2">
    <w:nsid w:val="13665894"/>
    <w:multiLevelType w:val="hybridMultilevel"/>
    <w:tmpl w:val="DB5C0C12"/>
    <w:lvl w:ilvl="0" w:tplc="542CAD1A">
      <w:start w:val="1"/>
      <w:numFmt w:val="decimal"/>
      <w:lvlText w:val="%1)"/>
      <w:lvlJc w:val="left"/>
      <w:pPr>
        <w:ind w:left="2625" w:hanging="13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040AFA"/>
    <w:multiLevelType w:val="multilevel"/>
    <w:tmpl w:val="005AB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967A8D"/>
    <w:multiLevelType w:val="hybridMultilevel"/>
    <w:tmpl w:val="68D4FD28"/>
    <w:lvl w:ilvl="0" w:tplc="4766A0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9916515"/>
    <w:multiLevelType w:val="multilevel"/>
    <w:tmpl w:val="086EC6FE"/>
    <w:lvl w:ilvl="0">
      <w:start w:val="1"/>
      <w:numFmt w:val="decimal"/>
      <w:lvlText w:val="%1."/>
      <w:lvlJc w:val="left"/>
      <w:pPr>
        <w:ind w:left="577"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31887474"/>
    <w:multiLevelType w:val="hybridMultilevel"/>
    <w:tmpl w:val="A5D44024"/>
    <w:lvl w:ilvl="0" w:tplc="B85C39EA">
      <w:start w:val="1"/>
      <w:numFmt w:val="decimal"/>
      <w:lvlText w:val="%1)"/>
      <w:lvlJc w:val="left"/>
      <w:pPr>
        <w:ind w:left="1474" w:hanging="4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F8B450F"/>
    <w:multiLevelType w:val="hybridMultilevel"/>
    <w:tmpl w:val="5936ECA0"/>
    <w:lvl w:ilvl="0" w:tplc="B7000E20">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6500C23"/>
    <w:multiLevelType w:val="multilevel"/>
    <w:tmpl w:val="086EC6FE"/>
    <w:lvl w:ilvl="0">
      <w:start w:val="1"/>
      <w:numFmt w:val="decimal"/>
      <w:lvlText w:val="%1."/>
      <w:lvlJc w:val="left"/>
      <w:pPr>
        <w:ind w:left="577"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5E412738"/>
    <w:multiLevelType w:val="multilevel"/>
    <w:tmpl w:val="78DC1D96"/>
    <w:lvl w:ilvl="0">
      <w:start w:val="1"/>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6A2149E8"/>
    <w:multiLevelType w:val="hybridMultilevel"/>
    <w:tmpl w:val="A4E8CD14"/>
    <w:lvl w:ilvl="0" w:tplc="D0EEC5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09139C"/>
    <w:multiLevelType w:val="multilevel"/>
    <w:tmpl w:val="086EC6FE"/>
    <w:lvl w:ilvl="0">
      <w:start w:val="1"/>
      <w:numFmt w:val="decimal"/>
      <w:lvlText w:val="%1."/>
      <w:lvlJc w:val="left"/>
      <w:pPr>
        <w:ind w:left="577"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762D5C60"/>
    <w:multiLevelType w:val="multilevel"/>
    <w:tmpl w:val="086EC6FE"/>
    <w:lvl w:ilvl="0">
      <w:start w:val="1"/>
      <w:numFmt w:val="decimal"/>
      <w:lvlText w:val="%1."/>
      <w:lvlJc w:val="left"/>
      <w:pPr>
        <w:ind w:left="577"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7D4E65EB"/>
    <w:multiLevelType w:val="multilevel"/>
    <w:tmpl w:val="5B1A6B88"/>
    <w:lvl w:ilvl="0">
      <w:start w:val="3"/>
      <w:numFmt w:val="decimal"/>
      <w:lvlText w:val="%1."/>
      <w:lvlJc w:val="left"/>
      <w:pPr>
        <w:ind w:left="675" w:hanging="67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11"/>
  </w:num>
  <w:num w:numId="2">
    <w:abstractNumId w:val="13"/>
  </w:num>
  <w:num w:numId="3">
    <w:abstractNumId w:val="1"/>
  </w:num>
  <w:num w:numId="4">
    <w:abstractNumId w:val="2"/>
  </w:num>
  <w:num w:numId="5">
    <w:abstractNumId w:val="6"/>
  </w:num>
  <w:num w:numId="6">
    <w:abstractNumId w:val="0"/>
  </w:num>
  <w:num w:numId="7">
    <w:abstractNumId w:val="10"/>
  </w:num>
  <w:num w:numId="8">
    <w:abstractNumId w:val="12"/>
  </w:num>
  <w:num w:numId="9">
    <w:abstractNumId w:val="7"/>
  </w:num>
  <w:num w:numId="10">
    <w:abstractNumId w:val="5"/>
  </w:num>
  <w:num w:numId="11">
    <w:abstractNumId w:val="8"/>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3F7703-9616-4B71-A3D1-48B42D49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pPr>
      <w:autoSpaceDE w:val="0"/>
      <w:autoSpaceDN w:val="0"/>
      <w:adjustRightInd w:val="0"/>
      <w:ind w:right="19772" w:firstLine="720"/>
    </w:pPr>
    <w:rPr>
      <w:rFonts w:ascii="Arial" w:hAnsi="Arial" w:cs="Arial"/>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styleId="a3">
    <w:name w:val="List Paragraph"/>
    <w:basedOn w:val="a"/>
    <w:uiPriority w:val="34"/>
    <w:qFormat/>
    <w:pPr>
      <w:spacing w:after="0" w:line="240" w:lineRule="auto"/>
      <w:ind w:left="720"/>
      <w:contextualSpacing/>
    </w:pPr>
    <w:rPr>
      <w:rFonts w:ascii="Times New Roman" w:hAnsi="Times New Roman"/>
      <w:sz w:val="24"/>
      <w:szCs w:val="24"/>
    </w:rPr>
  </w:style>
  <w:style w:type="paragraph" w:styleId="a4">
    <w:name w:val="header"/>
    <w:basedOn w:val="a"/>
    <w:link w:val="a5"/>
    <w:uiPriority w:val="99"/>
    <w:unhideWhenUsed/>
    <w:pPr>
      <w:tabs>
        <w:tab w:val="center" w:pos="4677"/>
        <w:tab w:val="right" w:pos="9355"/>
      </w:tabs>
      <w:spacing w:after="0" w:line="240" w:lineRule="auto"/>
    </w:pPr>
  </w:style>
  <w:style w:type="character" w:customStyle="1" w:styleId="a5">
    <w:name w:val="Верхний колонтитул Знак"/>
    <w:basedOn w:val="a0"/>
    <w:link w:val="a4"/>
    <w:uiPriority w:val="99"/>
  </w:style>
  <w:style w:type="paragraph" w:styleId="a6">
    <w:name w:val="footer"/>
    <w:basedOn w:val="a"/>
    <w:link w:val="a7"/>
    <w:uiPriority w:val="99"/>
    <w:unhideWhenUsed/>
    <w:pPr>
      <w:tabs>
        <w:tab w:val="center" w:pos="4677"/>
        <w:tab w:val="right" w:pos="9355"/>
      </w:tabs>
      <w:spacing w:after="0" w:line="240" w:lineRule="auto"/>
    </w:pPr>
  </w:style>
  <w:style w:type="character" w:customStyle="1" w:styleId="a7">
    <w:name w:val="Нижний колонтитул Знак"/>
    <w:basedOn w:val="a0"/>
    <w:link w:val="a6"/>
    <w:uiPriority w:val="99"/>
  </w:style>
  <w:style w:type="paragraph" w:styleId="a8">
    <w:name w:val="Balloon Text"/>
    <w:basedOn w:val="a"/>
    <w:link w:val="a9"/>
    <w:uiPriority w:val="99"/>
    <w:semiHidden/>
    <w:unhideWhenUsed/>
    <w:pPr>
      <w:spacing w:after="0" w:line="240" w:lineRule="auto"/>
    </w:pPr>
    <w:rPr>
      <w:rFonts w:ascii="Tahoma" w:hAnsi="Tahoma"/>
      <w:sz w:val="16"/>
      <w:szCs w:val="16"/>
    </w:rPr>
  </w:style>
  <w:style w:type="character" w:customStyle="1" w:styleId="a9">
    <w:name w:val="Текст выноски Знак"/>
    <w:link w:val="a8"/>
    <w:uiPriority w:val="99"/>
    <w:semiHidden/>
    <w:rPr>
      <w:rFonts w:ascii="Tahoma" w:hAnsi="Tahoma" w:cs="Tahoma"/>
      <w:sz w:val="16"/>
      <w:szCs w:val="16"/>
    </w:rPr>
  </w:style>
  <w:style w:type="paragraph" w:styleId="aa">
    <w:name w:val="Body Text Indent"/>
    <w:basedOn w:val="a"/>
    <w:link w:val="ab"/>
    <w:pPr>
      <w:autoSpaceDE w:val="0"/>
      <w:autoSpaceDN w:val="0"/>
      <w:adjustRightInd w:val="0"/>
      <w:spacing w:after="0" w:line="240" w:lineRule="auto"/>
      <w:ind w:firstLine="540"/>
      <w:jc w:val="both"/>
    </w:pPr>
    <w:rPr>
      <w:rFonts w:ascii="Times New Roman" w:hAnsi="Times New Roman"/>
      <w:sz w:val="28"/>
      <w:szCs w:val="24"/>
    </w:rPr>
  </w:style>
  <w:style w:type="character" w:customStyle="1" w:styleId="ab">
    <w:name w:val="Основной текст с отступом Знак"/>
    <w:basedOn w:val="a0"/>
    <w:link w:val="aa"/>
    <w:rPr>
      <w:rFonts w:ascii="Times New Roman" w:hAnsi="Times New Roman"/>
      <w:sz w:val="28"/>
      <w:szCs w:val="24"/>
    </w:rPr>
  </w:style>
  <w:style w:type="paragraph" w:styleId="ac">
    <w:name w:val="Normal (Web)"/>
    <w:basedOn w:val="a"/>
    <w:uiPriority w:val="99"/>
    <w:semiHidden/>
    <w:unhideWhenUsed/>
    <w:pPr>
      <w:spacing w:before="100" w:beforeAutospacing="1" w:after="100" w:afterAutospacing="1" w:line="240" w:lineRule="auto"/>
    </w:pPr>
    <w:rPr>
      <w:rFonts w:ascii="Times New Roman" w:hAnsi="Times New Roman"/>
      <w:sz w:val="24"/>
      <w:szCs w:val="24"/>
    </w:rPr>
  </w:style>
  <w:style w:type="paragraph" w:styleId="ad">
    <w:name w:val="Body Text"/>
    <w:basedOn w:val="a"/>
    <w:link w:val="ae"/>
    <w:uiPriority w:val="99"/>
    <w:semiHidden/>
    <w:unhideWhenUsed/>
    <w:pPr>
      <w:spacing w:after="120"/>
    </w:pPr>
  </w:style>
  <w:style w:type="character" w:customStyle="1" w:styleId="ae">
    <w:name w:val="Основной текст Знак"/>
    <w:basedOn w:val="a0"/>
    <w:link w:val="ad"/>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7134">
      <w:bodyDiv w:val="1"/>
      <w:marLeft w:val="0"/>
      <w:marRight w:val="0"/>
      <w:marTop w:val="0"/>
      <w:marBottom w:val="0"/>
      <w:divBdr>
        <w:top w:val="none" w:sz="0" w:space="0" w:color="auto"/>
        <w:left w:val="none" w:sz="0" w:space="0" w:color="auto"/>
        <w:bottom w:val="none" w:sz="0" w:space="0" w:color="auto"/>
        <w:right w:val="none" w:sz="0" w:space="0" w:color="auto"/>
      </w:divBdr>
    </w:div>
    <w:div w:id="667444639">
      <w:bodyDiv w:val="1"/>
      <w:marLeft w:val="0"/>
      <w:marRight w:val="0"/>
      <w:marTop w:val="0"/>
      <w:marBottom w:val="0"/>
      <w:divBdr>
        <w:top w:val="none" w:sz="0" w:space="0" w:color="auto"/>
        <w:left w:val="none" w:sz="0" w:space="0" w:color="auto"/>
        <w:bottom w:val="none" w:sz="0" w:space="0" w:color="auto"/>
        <w:right w:val="none" w:sz="0" w:space="0" w:color="auto"/>
      </w:divBdr>
    </w:div>
    <w:div w:id="704914692">
      <w:bodyDiv w:val="1"/>
      <w:marLeft w:val="0"/>
      <w:marRight w:val="0"/>
      <w:marTop w:val="0"/>
      <w:marBottom w:val="0"/>
      <w:divBdr>
        <w:top w:val="none" w:sz="0" w:space="0" w:color="auto"/>
        <w:left w:val="none" w:sz="0" w:space="0" w:color="auto"/>
        <w:bottom w:val="none" w:sz="0" w:space="0" w:color="auto"/>
        <w:right w:val="none" w:sz="0" w:space="0" w:color="auto"/>
      </w:divBdr>
    </w:div>
    <w:div w:id="921644709">
      <w:bodyDiv w:val="1"/>
      <w:marLeft w:val="0"/>
      <w:marRight w:val="0"/>
      <w:marTop w:val="0"/>
      <w:marBottom w:val="0"/>
      <w:divBdr>
        <w:top w:val="none" w:sz="0" w:space="0" w:color="auto"/>
        <w:left w:val="none" w:sz="0" w:space="0" w:color="auto"/>
        <w:bottom w:val="none" w:sz="0" w:space="0" w:color="auto"/>
        <w:right w:val="none" w:sz="0" w:space="0" w:color="auto"/>
      </w:divBdr>
    </w:div>
    <w:div w:id="956370442">
      <w:bodyDiv w:val="1"/>
      <w:marLeft w:val="0"/>
      <w:marRight w:val="0"/>
      <w:marTop w:val="0"/>
      <w:marBottom w:val="0"/>
      <w:divBdr>
        <w:top w:val="none" w:sz="0" w:space="0" w:color="auto"/>
        <w:left w:val="none" w:sz="0" w:space="0" w:color="auto"/>
        <w:bottom w:val="none" w:sz="0" w:space="0" w:color="auto"/>
        <w:right w:val="none" w:sz="0" w:space="0" w:color="auto"/>
      </w:divBdr>
    </w:div>
    <w:div w:id="1120607198">
      <w:bodyDiv w:val="1"/>
      <w:marLeft w:val="0"/>
      <w:marRight w:val="0"/>
      <w:marTop w:val="0"/>
      <w:marBottom w:val="0"/>
      <w:divBdr>
        <w:top w:val="none" w:sz="0" w:space="0" w:color="auto"/>
        <w:left w:val="none" w:sz="0" w:space="0" w:color="auto"/>
        <w:bottom w:val="none" w:sz="0" w:space="0" w:color="auto"/>
        <w:right w:val="none" w:sz="0" w:space="0" w:color="auto"/>
      </w:divBdr>
    </w:div>
    <w:div w:id="1374421256">
      <w:bodyDiv w:val="1"/>
      <w:marLeft w:val="0"/>
      <w:marRight w:val="0"/>
      <w:marTop w:val="0"/>
      <w:marBottom w:val="0"/>
      <w:divBdr>
        <w:top w:val="none" w:sz="0" w:space="0" w:color="auto"/>
        <w:left w:val="none" w:sz="0" w:space="0" w:color="auto"/>
        <w:bottom w:val="none" w:sz="0" w:space="0" w:color="auto"/>
        <w:right w:val="none" w:sz="0" w:space="0" w:color="auto"/>
      </w:divBdr>
    </w:div>
    <w:div w:id="1812598138">
      <w:bodyDiv w:val="1"/>
      <w:marLeft w:val="0"/>
      <w:marRight w:val="0"/>
      <w:marTop w:val="0"/>
      <w:marBottom w:val="0"/>
      <w:divBdr>
        <w:top w:val="none" w:sz="0" w:space="0" w:color="auto"/>
        <w:left w:val="none" w:sz="0" w:space="0" w:color="auto"/>
        <w:bottom w:val="none" w:sz="0" w:space="0" w:color="auto"/>
        <w:right w:val="none" w:sz="0" w:space="0" w:color="auto"/>
      </w:divBdr>
    </w:div>
    <w:div w:id="1868062384">
      <w:bodyDiv w:val="1"/>
      <w:marLeft w:val="0"/>
      <w:marRight w:val="0"/>
      <w:marTop w:val="0"/>
      <w:marBottom w:val="0"/>
      <w:divBdr>
        <w:top w:val="none" w:sz="0" w:space="0" w:color="auto"/>
        <w:left w:val="none" w:sz="0" w:space="0" w:color="auto"/>
        <w:bottom w:val="none" w:sz="0" w:space="0" w:color="auto"/>
        <w:right w:val="none" w:sz="0" w:space="0" w:color="auto"/>
      </w:divBdr>
    </w:div>
    <w:div w:id="1888947718">
      <w:bodyDiv w:val="1"/>
      <w:marLeft w:val="0"/>
      <w:marRight w:val="0"/>
      <w:marTop w:val="0"/>
      <w:marBottom w:val="0"/>
      <w:divBdr>
        <w:top w:val="none" w:sz="0" w:space="0" w:color="auto"/>
        <w:left w:val="none" w:sz="0" w:space="0" w:color="auto"/>
        <w:bottom w:val="none" w:sz="0" w:space="0" w:color="auto"/>
        <w:right w:val="none" w:sz="0" w:space="0" w:color="auto"/>
      </w:divBdr>
    </w:div>
    <w:div w:id="209250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1104</TotalTime>
  <Pages>10</Pages>
  <Words>3424</Words>
  <Characters>19520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Молодёжная политика</Company>
  <LinksUpToDate>false</LinksUpToDate>
  <CharactersWithSpaces>22899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Фадеева Алена Михайловна</cp:lastModifiedBy>
  <cp:revision>52</cp:revision>
  <cp:lastPrinted>2021-04-07T05:42:00Z</cp:lastPrinted>
  <dcterms:created xsi:type="dcterms:W3CDTF">2020-12-18T07:19:00Z</dcterms:created>
  <dcterms:modified xsi:type="dcterms:W3CDTF">2021-04-07T05:42:00Z</dcterms:modified>
</cp:coreProperties>
</file>